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38F9D" w14:textId="398405FE" w:rsidR="00C11F45" w:rsidRPr="00C11F45" w:rsidRDefault="00C11F45" w:rsidP="004A518D">
      <w:pPr>
        <w:rPr>
          <w:b/>
          <w:bCs/>
          <w:i/>
          <w:iCs/>
          <w:color w:val="00B0F0"/>
        </w:rPr>
      </w:pPr>
      <w:r w:rsidRPr="00C11F45">
        <w:rPr>
          <w:b/>
          <w:bCs/>
          <w:i/>
          <w:iCs/>
          <w:color w:val="00B0F0"/>
        </w:rPr>
        <w:t>TISKOVÁ ZPRÁVA</w:t>
      </w:r>
    </w:p>
    <w:p w14:paraId="22F3A609" w14:textId="7FCE23E2" w:rsidR="004A518D" w:rsidRPr="004A518D" w:rsidRDefault="004A518D" w:rsidP="004A518D">
      <w:pPr>
        <w:rPr>
          <w:b/>
          <w:bCs/>
        </w:rPr>
      </w:pPr>
      <w:r w:rsidRPr="004A518D">
        <w:rPr>
          <w:b/>
          <w:bCs/>
        </w:rPr>
        <w:t>Začátek školního roku přináší stres: většin</w:t>
      </w:r>
      <w:r>
        <w:rPr>
          <w:b/>
          <w:bCs/>
        </w:rPr>
        <w:t>u</w:t>
      </w:r>
      <w:r w:rsidRPr="004A518D">
        <w:rPr>
          <w:b/>
          <w:bCs/>
        </w:rPr>
        <w:t xml:space="preserve"> dětí trápí vztahy ve škole a školní povinnosti, </w:t>
      </w:r>
      <w:r w:rsidR="001A34E0">
        <w:rPr>
          <w:b/>
          <w:bCs/>
        </w:rPr>
        <w:t xml:space="preserve">téměř </w:t>
      </w:r>
      <w:r w:rsidRPr="004A518D">
        <w:rPr>
          <w:b/>
          <w:bCs/>
        </w:rPr>
        <w:t>dvě třetiny neznají odbornou pomoc</w:t>
      </w:r>
      <w:r w:rsidR="002D6A5D">
        <w:rPr>
          <w:b/>
          <w:bCs/>
        </w:rPr>
        <w:t xml:space="preserve"> </w:t>
      </w:r>
    </w:p>
    <w:p w14:paraId="3690830F" w14:textId="7EF9435D" w:rsidR="004A518D" w:rsidRPr="004A518D" w:rsidRDefault="00F73944" w:rsidP="004A518D">
      <w:r w:rsidRPr="000A692F">
        <w:rPr>
          <w:b/>
          <w:bCs/>
        </w:rPr>
        <w:t xml:space="preserve">Praha, </w:t>
      </w:r>
      <w:r w:rsidR="006B1E72">
        <w:rPr>
          <w:b/>
          <w:bCs/>
        </w:rPr>
        <w:t>31. srpna</w:t>
      </w:r>
      <w:r w:rsidRPr="000A692F">
        <w:rPr>
          <w:b/>
          <w:bCs/>
        </w:rPr>
        <w:t xml:space="preserve"> 2026</w:t>
      </w:r>
      <w:r w:rsidRPr="000A692F">
        <w:t xml:space="preserve"> – </w:t>
      </w:r>
      <w:r w:rsidR="006B1E72" w:rsidRPr="006B1E72">
        <w:t xml:space="preserve">Návrat do školních lavic představuje pro mnoho českých dětí a dospívajících významnou psychickou zátěž. </w:t>
      </w:r>
      <w:r w:rsidR="0051588D">
        <w:t>Výsledky</w:t>
      </w:r>
      <w:r w:rsidR="006B1E72" w:rsidRPr="006B1E72">
        <w:t xml:space="preserve"> reprezentativní</w:t>
      </w:r>
      <w:r w:rsidR="0051588D">
        <w:t>ho</w:t>
      </w:r>
      <w:r w:rsidR="006B1E72" w:rsidRPr="006B1E72">
        <w:t xml:space="preserve"> výzkum</w:t>
      </w:r>
      <w:r w:rsidR="0051588D">
        <w:t>u</w:t>
      </w:r>
      <w:r w:rsidR="006B1E72" w:rsidRPr="006B1E72">
        <w:t xml:space="preserve"> </w:t>
      </w:r>
      <w:r w:rsidR="0051588D">
        <w:t>Českého výboru pro UNICEF</w:t>
      </w:r>
      <w:r w:rsidR="00323FD4">
        <w:t>, který pravidelně realizuje s agenturou STEM/MARK,</w:t>
      </w:r>
      <w:r w:rsidR="002D6A5D">
        <w:t xml:space="preserve"> </w:t>
      </w:r>
      <w:r w:rsidR="006B1E72" w:rsidRPr="006B1E72">
        <w:t xml:space="preserve">mezi dětmi a mladými lidmi ve věku 9 až 17 let ukazuje, že největší zdroje stresu a nepohody souvisejí právě se školním prostředím. Děti nejčastěji zmiňují vztahy ve škole, školní povinnosti nebo tlak na výkon. </w:t>
      </w:r>
      <w:r w:rsidR="002D6A5D">
        <w:t>T</w:t>
      </w:r>
      <w:r w:rsidR="004A518D" w:rsidRPr="004A518D">
        <w:t xml:space="preserve">éměř dvě třetiny </w:t>
      </w:r>
      <w:r w:rsidR="002D6A5D">
        <w:t xml:space="preserve">dětí </w:t>
      </w:r>
      <w:r w:rsidR="004A518D" w:rsidRPr="004A518D">
        <w:t>nevědí, na jakou krizovou linku nebo odbornou organizaci se obrátit v případě psychických obtíží.</w:t>
      </w:r>
    </w:p>
    <w:p w14:paraId="61475E5B" w14:textId="77777777" w:rsidR="00F73944" w:rsidRPr="000A692F" w:rsidRDefault="00F73944" w:rsidP="00F73944">
      <w:r w:rsidRPr="000A692F">
        <w:rPr>
          <w:b/>
          <w:bCs/>
        </w:rPr>
        <w:t>Škola jako hlavní zdroj stresu a nepohody</w:t>
      </w:r>
    </w:p>
    <w:p w14:paraId="1936E396" w14:textId="59E4A7CB" w:rsidR="006B1E72" w:rsidRPr="000A692F" w:rsidRDefault="00F73944" w:rsidP="00F73944">
      <w:r w:rsidRPr="000A692F">
        <w:t xml:space="preserve">Až </w:t>
      </w:r>
      <w:r w:rsidR="006B1E72">
        <w:t>60</w:t>
      </w:r>
      <w:r w:rsidRPr="000A692F">
        <w:t xml:space="preserve"> % dětí uvádí, že v posledních čtrnácti dnech </w:t>
      </w:r>
      <w:r w:rsidR="004A518D" w:rsidRPr="004A518D">
        <w:t xml:space="preserve">zažívaly </w:t>
      </w:r>
      <w:r w:rsidRPr="000A692F">
        <w:t>stres z důvodu školy nebo jiných povinností často, velmi často nebo alespoň občas (</w:t>
      </w:r>
      <w:r>
        <w:t>20</w:t>
      </w:r>
      <w:r w:rsidRPr="000A692F">
        <w:t xml:space="preserve"> % často či velmi často).</w:t>
      </w:r>
      <w:r w:rsidR="006B1E72">
        <w:t xml:space="preserve"> </w:t>
      </w:r>
      <w:r w:rsidR="006B1E72" w:rsidRPr="006B1E72">
        <w:t xml:space="preserve">Školní prostředí se podle dětí podílí na jejich psychické nepohodě více než jakákoli jiná oblast života. Polovina respondentů označila za příčinu stresu, smutku nebo strachu vztahy ve škole, tedy problémy se spolužáky, učiteli nebo zkušenost se šikanou. </w:t>
      </w:r>
      <w:r w:rsidR="006B1E72">
        <w:t xml:space="preserve"> </w:t>
      </w:r>
    </w:p>
    <w:p w14:paraId="33E27499" w14:textId="4DD53114" w:rsidR="00F73944" w:rsidRPr="000A692F" w:rsidRDefault="00F73944" w:rsidP="00F73944">
      <w:pPr>
        <w:numPr>
          <w:ilvl w:val="0"/>
          <w:numId w:val="1"/>
        </w:numPr>
      </w:pPr>
      <w:r w:rsidRPr="000A692F">
        <w:rPr>
          <w:b/>
          <w:bCs/>
        </w:rPr>
        <w:t>Vztahy ve škole (</w:t>
      </w:r>
      <w:r w:rsidR="001A34E0">
        <w:rPr>
          <w:b/>
          <w:bCs/>
        </w:rPr>
        <w:t>49</w:t>
      </w:r>
      <w:r w:rsidRPr="000A692F">
        <w:rPr>
          <w:b/>
          <w:bCs/>
        </w:rPr>
        <w:t xml:space="preserve"> %):</w:t>
      </w:r>
      <w:r w:rsidRPr="000A692F">
        <w:t xml:space="preserve"> Učitelé, spolužáci či šikana jsou vůbec nejčastěji jmenovaným důvodem psychické nepohody. U mladších dětí (9–13 let) tento faktor zmínilo dokonce 5</w:t>
      </w:r>
      <w:r>
        <w:t>4</w:t>
      </w:r>
      <w:r w:rsidRPr="000A692F">
        <w:t xml:space="preserve"> % respondentů.</w:t>
      </w:r>
    </w:p>
    <w:p w14:paraId="119FCFA0" w14:textId="04DAC5A2" w:rsidR="00F73944" w:rsidRPr="000A692F" w:rsidRDefault="00F73944" w:rsidP="00F73944">
      <w:pPr>
        <w:numPr>
          <w:ilvl w:val="0"/>
          <w:numId w:val="1"/>
        </w:numPr>
      </w:pPr>
      <w:r w:rsidRPr="000A692F">
        <w:rPr>
          <w:b/>
          <w:bCs/>
        </w:rPr>
        <w:t>Školní povinnosti (45 %):</w:t>
      </w:r>
      <w:r w:rsidRPr="000A692F">
        <w:t xml:space="preserve"> Zátěž spojená s výukou a učivem drží druhou příčku hned vedle rodinných problémů (4</w:t>
      </w:r>
      <w:r>
        <w:t>6</w:t>
      </w:r>
      <w:r w:rsidRPr="000A692F">
        <w:t xml:space="preserve"> %).</w:t>
      </w:r>
    </w:p>
    <w:p w14:paraId="3AECEFE3" w14:textId="5132578C" w:rsidR="00F73944" w:rsidRPr="000A692F" w:rsidRDefault="00F73944" w:rsidP="00F73944">
      <w:pPr>
        <w:numPr>
          <w:ilvl w:val="0"/>
          <w:numId w:val="1"/>
        </w:numPr>
      </w:pPr>
      <w:r w:rsidRPr="000A692F">
        <w:rPr>
          <w:b/>
          <w:bCs/>
        </w:rPr>
        <w:t>Tlak na výkon a vysoká očekávání (2</w:t>
      </w:r>
      <w:r>
        <w:rPr>
          <w:b/>
          <w:bCs/>
        </w:rPr>
        <w:t>6</w:t>
      </w:r>
      <w:r w:rsidRPr="000A692F">
        <w:rPr>
          <w:b/>
          <w:bCs/>
        </w:rPr>
        <w:t xml:space="preserve"> %):</w:t>
      </w:r>
      <w:r w:rsidRPr="000A692F">
        <w:t xml:space="preserve"> Zvláště silně doléhá na starší mládež ve věku 14–17 let, kde ho uvádí téměř třetina dospívajících (3</w:t>
      </w:r>
      <w:r>
        <w:t>3</w:t>
      </w:r>
      <w:r w:rsidRPr="000A692F">
        <w:t xml:space="preserve"> %).</w:t>
      </w:r>
    </w:p>
    <w:p w14:paraId="2EBBAB3C" w14:textId="77777777" w:rsidR="00F73944" w:rsidRPr="00163023" w:rsidRDefault="00F73944" w:rsidP="006B1E72">
      <w:pPr>
        <w:pStyle w:val="Odstavecseseznamem"/>
        <w:numPr>
          <w:ilvl w:val="0"/>
          <w:numId w:val="1"/>
        </w:numPr>
      </w:pPr>
      <w:r w:rsidRPr="00163023">
        <w:t xml:space="preserve">Pocity smutku nebo špatné nálady zažívá občas či často přes 48 % dětí. </w:t>
      </w:r>
    </w:p>
    <w:p w14:paraId="70A4F97B" w14:textId="77777777" w:rsidR="00F73944" w:rsidRPr="006B1E72" w:rsidRDefault="00F73944" w:rsidP="00F73944">
      <w:pPr>
        <w:rPr>
          <w:b/>
          <w:bCs/>
        </w:rPr>
      </w:pPr>
      <w:r w:rsidRPr="006B1E72">
        <w:rPr>
          <w:b/>
          <w:bCs/>
        </w:rPr>
        <w:t>Naproti tomu výzkum přináší i pozitivní zjištění:</w:t>
      </w:r>
    </w:p>
    <w:p w14:paraId="0403D7FA" w14:textId="3FF1DEF2" w:rsidR="00F73944" w:rsidRDefault="00F73944" w:rsidP="00F73944">
      <w:pPr>
        <w:pStyle w:val="Odstavecseseznamem"/>
        <w:numPr>
          <w:ilvl w:val="0"/>
          <w:numId w:val="3"/>
        </w:numPr>
      </w:pPr>
      <w:r w:rsidRPr="000A692F">
        <w:rPr>
          <w:b/>
          <w:bCs/>
        </w:rPr>
        <w:t>Vysoká důvěra v učitele:</w:t>
      </w:r>
      <w:r w:rsidRPr="000A692F">
        <w:t xml:space="preserve"> Dvě třetiny dětí (</w:t>
      </w:r>
      <w:r w:rsidRPr="000A692F">
        <w:rPr>
          <w:b/>
          <w:bCs/>
        </w:rPr>
        <w:t>61 %</w:t>
      </w:r>
      <w:r w:rsidRPr="000A692F">
        <w:t>) chovají k učitelům silnou důvěru (15 % jim věří úplně a 46 % spíše ano). Výrazně nízkou nebo žádnou důvěru k pedagogům vyjádřilo pouze 1</w:t>
      </w:r>
      <w:r>
        <w:t>2</w:t>
      </w:r>
      <w:r w:rsidRPr="000A692F">
        <w:t xml:space="preserve"> % žáků.</w:t>
      </w:r>
    </w:p>
    <w:p w14:paraId="228141B4" w14:textId="77777777" w:rsidR="00F73944" w:rsidRDefault="00F73944" w:rsidP="00F73944">
      <w:pPr>
        <w:pStyle w:val="Odstavecseseznamem"/>
      </w:pPr>
    </w:p>
    <w:p w14:paraId="53C24C7D" w14:textId="17959EE1" w:rsidR="00F73944" w:rsidRPr="00CA0A38" w:rsidRDefault="00F73944" w:rsidP="0051588D">
      <w:pPr>
        <w:pStyle w:val="Odstavecseseznamem"/>
        <w:numPr>
          <w:ilvl w:val="0"/>
          <w:numId w:val="3"/>
        </w:numPr>
      </w:pPr>
      <w:r w:rsidRPr="00CA0A38">
        <w:rPr>
          <w:b/>
          <w:bCs/>
        </w:rPr>
        <w:t>Školní úspěch jako zdroj štěstí:</w:t>
      </w:r>
      <w:r w:rsidRPr="00CA0A38">
        <w:t xml:space="preserve"> </w:t>
      </w:r>
      <w:r w:rsidR="0051588D" w:rsidRPr="00CA0A38">
        <w:rPr>
          <w:b/>
          <w:bCs/>
        </w:rPr>
        <w:t>42 % dětí spojuje pocit štěstí s dobrými známkami</w:t>
      </w:r>
      <w:r w:rsidR="0051588D" w:rsidRPr="00CA0A38">
        <w:t>, u dospívajících dokonce 46 %. To naznačuje, že školní úspěch je pro řadu dětí zdrojem sebedůvěry a spokojenosti.</w:t>
      </w:r>
    </w:p>
    <w:p w14:paraId="488A4244" w14:textId="61FE8E3B" w:rsidR="004A518D" w:rsidRPr="0051588D" w:rsidRDefault="004A518D" w:rsidP="004A518D">
      <w:pPr>
        <w:rPr>
          <w:i/>
          <w:iCs/>
        </w:rPr>
      </w:pPr>
      <w:r w:rsidRPr="0051588D">
        <w:rPr>
          <w:i/>
          <w:iCs/>
        </w:rPr>
        <w:t>„</w:t>
      </w:r>
      <w:r w:rsidR="002D6A5D" w:rsidRPr="0051588D">
        <w:rPr>
          <w:i/>
          <w:iCs/>
        </w:rPr>
        <w:t>Začátek školního roku může být pro děti zdrojem radosti i obav. Pro téměř šest z deseti dětí představují škola a školní povinnosti významnou zátěž. To bychom neměli přehlížet ani považovat za běžnou součást dospívání. Výsledky výzkumu ukazují, jak důležité je, aby školy podporovaly nejen vzdělávání, ale také duševní pohodu dětí. Každé dítě by se ve škole mělo cítit bezpečně, vědět, na koho se může obrátit, a mít přístup k včasné pomoci,</w:t>
      </w:r>
      <w:r w:rsidRPr="0051588D">
        <w:rPr>
          <w:i/>
          <w:iCs/>
        </w:rPr>
        <w:t>“</w:t>
      </w:r>
      <w:r w:rsidRPr="0051588D">
        <w:t xml:space="preserve"> uvedla </w:t>
      </w:r>
      <w:r w:rsidRPr="0051588D">
        <w:rPr>
          <w:b/>
          <w:bCs/>
        </w:rPr>
        <w:t>Pavla Gomba</w:t>
      </w:r>
      <w:r w:rsidRPr="0051588D">
        <w:t>, výkonná ředitelka UNICEF ČR.</w:t>
      </w:r>
    </w:p>
    <w:p w14:paraId="652D1E92" w14:textId="07B17DA8" w:rsidR="006B1E72" w:rsidRDefault="006B1E72" w:rsidP="00F73944">
      <w:pPr>
        <w:rPr>
          <w:b/>
          <w:bCs/>
        </w:rPr>
      </w:pPr>
      <w:r w:rsidRPr="0051588D">
        <w:rPr>
          <w:b/>
          <w:bCs/>
        </w:rPr>
        <w:t xml:space="preserve">Nejvíce ohrožené jsou </w:t>
      </w:r>
      <w:r w:rsidR="001A34E0">
        <w:rPr>
          <w:b/>
          <w:bCs/>
        </w:rPr>
        <w:t>starší</w:t>
      </w:r>
      <w:r w:rsidRPr="0051588D">
        <w:rPr>
          <w:b/>
          <w:bCs/>
        </w:rPr>
        <w:t xml:space="preserve"> </w:t>
      </w:r>
      <w:r w:rsidR="00163023" w:rsidRPr="0051588D">
        <w:rPr>
          <w:b/>
          <w:bCs/>
        </w:rPr>
        <w:t>děti</w:t>
      </w:r>
      <w:r w:rsidR="002D6A5D" w:rsidRPr="0051588D">
        <w:rPr>
          <w:b/>
          <w:bCs/>
        </w:rPr>
        <w:t xml:space="preserve"> </w:t>
      </w:r>
    </w:p>
    <w:p w14:paraId="13DBD7DD" w14:textId="7C0673F3" w:rsidR="006B1E72" w:rsidRPr="006B1E72" w:rsidRDefault="006B1E72" w:rsidP="006B1E72">
      <w:pPr>
        <w:rPr>
          <w:b/>
          <w:bCs/>
        </w:rPr>
      </w:pPr>
      <w:r w:rsidRPr="006B1E72">
        <w:lastRenderedPageBreak/>
        <w:t>Data ukazují, že školní stres nedopadá na všechny děti stejně</w:t>
      </w:r>
      <w:r w:rsidR="001A34E0">
        <w:t xml:space="preserve">. </w:t>
      </w:r>
      <w:r w:rsidRPr="006B1E72">
        <w:t>Vyšší míru zátěže zaznamenává výzkum u starších dospívajících</w:t>
      </w:r>
      <w:r w:rsidRPr="006B1E72">
        <w:rPr>
          <w:b/>
          <w:bCs/>
        </w:rPr>
        <w:t xml:space="preserve">. </w:t>
      </w:r>
      <w:r w:rsidRPr="00163023">
        <w:t>Ve věkové skupině 14 až 17 let zažívá častý nebo velmi častý stres 24 % mladých lidí, zatímco mezi dětmi ve věku 9 až 13 let je to 17 %.</w:t>
      </w:r>
    </w:p>
    <w:p w14:paraId="0D041DE6" w14:textId="77777777" w:rsidR="006B1E72" w:rsidRPr="006B1E72" w:rsidRDefault="006B1E72" w:rsidP="006B1E72">
      <w:pPr>
        <w:rPr>
          <w:b/>
          <w:bCs/>
        </w:rPr>
      </w:pPr>
      <w:r w:rsidRPr="006B1E72">
        <w:rPr>
          <w:b/>
          <w:bCs/>
        </w:rPr>
        <w:t>Děti se svěřují spolužákům, odbornou pomoc ale často neznají</w:t>
      </w:r>
    </w:p>
    <w:p w14:paraId="59DD608C" w14:textId="77777777" w:rsidR="004A518D" w:rsidRPr="004A518D" w:rsidRDefault="004A518D" w:rsidP="004A518D">
      <w:r w:rsidRPr="004A518D">
        <w:rPr>
          <w:b/>
          <w:bCs/>
        </w:rPr>
        <w:t xml:space="preserve">Přibližně dvě třetiny dětí (67 %) uvádějí, že mají ve škole někoho, s kým mohou mluvit o svých potřebách a starostech. </w:t>
      </w:r>
      <w:r w:rsidRPr="004A518D">
        <w:t>Téměř 13 % dětí však takovou osobu nemá a dalších 20 % si není jistých.</w:t>
      </w:r>
    </w:p>
    <w:p w14:paraId="1CCDD166" w14:textId="1AF02567" w:rsidR="004A518D" w:rsidRPr="004A518D" w:rsidRDefault="004A518D" w:rsidP="004A518D">
      <w:pPr>
        <w:rPr>
          <w:b/>
          <w:bCs/>
        </w:rPr>
      </w:pPr>
      <w:r w:rsidRPr="004A518D">
        <w:t xml:space="preserve">Pokud se děti rozhodnou svěřit se s problémy, </w:t>
      </w:r>
      <w:r w:rsidRPr="002D6A5D">
        <w:rPr>
          <w:b/>
          <w:bCs/>
        </w:rPr>
        <w:t>nejčastěji se obracejí na své spolužáky</w:t>
      </w:r>
      <w:r w:rsidRPr="004A518D">
        <w:t xml:space="preserve">. Uvádí to polovina respondentů. </w:t>
      </w:r>
      <w:r w:rsidRPr="00163023">
        <w:t>Na učitele se obrací 29 % dětí a služeb školních psychologů nebo poradců využívá pouze 10 % žáků.</w:t>
      </w:r>
    </w:p>
    <w:p w14:paraId="1EE6F72B" w14:textId="6BD5F26D" w:rsidR="004A518D" w:rsidRDefault="004A518D" w:rsidP="004A518D">
      <w:r w:rsidRPr="004A518D">
        <w:t>Přestože děti učitelům důvěřují a často v nich vidí přirozenou oporu, orientace v dostupné odborné pomoci mimo školu zůstává výrazně nedostatečná.</w:t>
      </w:r>
      <w:r w:rsidRPr="004A518D">
        <w:rPr>
          <w:b/>
          <w:bCs/>
        </w:rPr>
        <w:t xml:space="preserve"> Téměř dvě třetiny dětí (65 %) nevědí, na jakou krizovou linku nebo organizaci se mohou obrátit v případě psychických obtíží.</w:t>
      </w:r>
      <w:r w:rsidRPr="004A518D">
        <w:t xml:space="preserve"> U mladších dětí ve věku 9 až 13 let nezná žádnou krizovou službu dokonce 74 % respondentů.</w:t>
      </w:r>
    </w:p>
    <w:p w14:paraId="20B13D42" w14:textId="17AF571E" w:rsidR="00163023" w:rsidRPr="00163023" w:rsidRDefault="00163023" w:rsidP="00163023">
      <w:r w:rsidRPr="00163023">
        <w:t xml:space="preserve">Výsledky výzkumu ukazují, že škola může být pro děti současně </w:t>
      </w:r>
      <w:r w:rsidR="002D6A5D" w:rsidRPr="00163023">
        <w:t>důležitou oporou</w:t>
      </w:r>
      <w:r w:rsidR="002D6A5D">
        <w:t xml:space="preserve"> i </w:t>
      </w:r>
      <w:r w:rsidRPr="00163023">
        <w:t>zdrojem stresu. Posilování bezpečného a podporujícího školního prostředí spolu se zvyšováním povědomí o dostupné odborné pomoci proto patří mezi klíčové kroky k ochraně duševního zdraví dětí a dospívajících.</w:t>
      </w:r>
    </w:p>
    <w:p w14:paraId="1C251272" w14:textId="77777777" w:rsidR="00F73944" w:rsidRDefault="00F73944" w:rsidP="00F73944">
      <w:r w:rsidRPr="000A692F">
        <w:rPr>
          <w:b/>
          <w:bCs/>
        </w:rPr>
        <w:t>O výzkumu</w:t>
      </w:r>
      <w:r w:rsidRPr="000A692F">
        <w:t xml:space="preserve"> </w:t>
      </w:r>
    </w:p>
    <w:p w14:paraId="20FC8408" w14:textId="77777777" w:rsidR="0051588D" w:rsidRPr="0051588D" w:rsidRDefault="0051588D" w:rsidP="0051588D">
      <w:r w:rsidRPr="0051588D">
        <w:rPr>
          <w:i/>
          <w:iCs/>
        </w:rPr>
        <w:t>Sběr dat pro studii proběhl v období 14. dubna až 7. května 2026. Na otázky odpovídalo 1</w:t>
      </w:r>
      <w:r w:rsidRPr="0051588D">
        <w:rPr>
          <w:rFonts w:ascii="Arial" w:hAnsi="Arial" w:cs="Arial"/>
          <w:i/>
          <w:iCs/>
        </w:rPr>
        <w:t> </w:t>
      </w:r>
      <w:r w:rsidRPr="0051588D">
        <w:rPr>
          <w:i/>
          <w:iCs/>
        </w:rPr>
        <w:t>012 d</w:t>
      </w:r>
      <w:r w:rsidRPr="0051588D">
        <w:rPr>
          <w:rFonts w:ascii="Aptos" w:hAnsi="Aptos" w:cs="Aptos"/>
          <w:i/>
          <w:iCs/>
        </w:rPr>
        <w:t>ě</w:t>
      </w:r>
      <w:r w:rsidRPr="0051588D">
        <w:rPr>
          <w:i/>
          <w:iCs/>
        </w:rPr>
        <w:t>t</w:t>
      </w:r>
      <w:r w:rsidRPr="0051588D">
        <w:rPr>
          <w:rFonts w:ascii="Aptos" w:hAnsi="Aptos" w:cs="Aptos"/>
          <w:i/>
          <w:iCs/>
        </w:rPr>
        <w:t>í </w:t>
      </w:r>
      <w:r w:rsidRPr="0051588D">
        <w:rPr>
          <w:i/>
          <w:iCs/>
        </w:rPr>
        <w:t>ve v</w:t>
      </w:r>
      <w:r w:rsidRPr="0051588D">
        <w:rPr>
          <w:rFonts w:ascii="Aptos" w:hAnsi="Aptos" w:cs="Aptos"/>
          <w:i/>
          <w:iCs/>
        </w:rPr>
        <w:t>ě</w:t>
      </w:r>
      <w:r w:rsidRPr="0051588D">
        <w:rPr>
          <w:i/>
          <w:iCs/>
        </w:rPr>
        <w:t>ku 9</w:t>
      </w:r>
      <w:r w:rsidRPr="0051588D">
        <w:rPr>
          <w:rFonts w:ascii="Aptos" w:hAnsi="Aptos" w:cs="Aptos"/>
          <w:i/>
          <w:iCs/>
        </w:rPr>
        <w:t>–</w:t>
      </w:r>
      <w:r w:rsidRPr="0051588D">
        <w:rPr>
          <w:i/>
          <w:iCs/>
        </w:rPr>
        <w:t>17 let, vzorek byl rovnom</w:t>
      </w:r>
      <w:r w:rsidRPr="0051588D">
        <w:rPr>
          <w:rFonts w:ascii="Aptos" w:hAnsi="Aptos" w:cs="Aptos"/>
          <w:i/>
          <w:iCs/>
        </w:rPr>
        <w:t>ě</w:t>
      </w:r>
      <w:r w:rsidRPr="0051588D">
        <w:rPr>
          <w:i/>
          <w:iCs/>
        </w:rPr>
        <w:t>rn</w:t>
      </w:r>
      <w:r w:rsidRPr="0051588D">
        <w:rPr>
          <w:rFonts w:ascii="Aptos" w:hAnsi="Aptos" w:cs="Aptos"/>
          <w:i/>
          <w:iCs/>
        </w:rPr>
        <w:t>ě </w:t>
      </w:r>
      <w:r w:rsidRPr="0051588D">
        <w:rPr>
          <w:i/>
          <w:iCs/>
        </w:rPr>
        <w:t>rozd</w:t>
      </w:r>
      <w:r w:rsidRPr="0051588D">
        <w:rPr>
          <w:rFonts w:ascii="Aptos" w:hAnsi="Aptos" w:cs="Aptos"/>
          <w:i/>
          <w:iCs/>
        </w:rPr>
        <w:t>ě</w:t>
      </w:r>
      <w:r w:rsidRPr="0051588D">
        <w:rPr>
          <w:i/>
          <w:iCs/>
        </w:rPr>
        <w:t>len podle pohlav</w:t>
      </w:r>
      <w:r w:rsidRPr="0051588D">
        <w:rPr>
          <w:rFonts w:ascii="Aptos" w:hAnsi="Aptos" w:cs="Aptos"/>
          <w:i/>
          <w:iCs/>
        </w:rPr>
        <w:t>í </w:t>
      </w:r>
      <w:r w:rsidRPr="0051588D">
        <w:rPr>
          <w:i/>
          <w:iCs/>
        </w:rPr>
        <w:t>a</w:t>
      </w:r>
      <w:r w:rsidRPr="0051588D">
        <w:rPr>
          <w:rFonts w:ascii="Aptos" w:hAnsi="Aptos" w:cs="Aptos"/>
          <w:i/>
          <w:iCs/>
        </w:rPr>
        <w:t> </w:t>
      </w:r>
      <w:r w:rsidRPr="0051588D">
        <w:rPr>
          <w:i/>
          <w:iCs/>
        </w:rPr>
        <w:t>v</w:t>
      </w:r>
      <w:r w:rsidRPr="0051588D">
        <w:rPr>
          <w:rFonts w:ascii="Aptos" w:hAnsi="Aptos" w:cs="Aptos"/>
          <w:i/>
          <w:iCs/>
        </w:rPr>
        <w:t>ě</w:t>
      </w:r>
      <w:r w:rsidRPr="0051588D">
        <w:rPr>
          <w:i/>
          <w:iCs/>
        </w:rPr>
        <w:t>ku i</w:t>
      </w:r>
      <w:r w:rsidRPr="0051588D">
        <w:rPr>
          <w:rFonts w:ascii="Aptos" w:hAnsi="Aptos" w:cs="Aptos"/>
          <w:i/>
          <w:iCs/>
        </w:rPr>
        <w:t> </w:t>
      </w:r>
      <w:r w:rsidRPr="0051588D">
        <w:rPr>
          <w:i/>
          <w:iCs/>
        </w:rPr>
        <w:t>s</w:t>
      </w:r>
      <w:r w:rsidRPr="0051588D">
        <w:rPr>
          <w:rFonts w:ascii="Aptos" w:hAnsi="Aptos" w:cs="Aptos"/>
          <w:i/>
          <w:iCs/>
        </w:rPr>
        <w:t> </w:t>
      </w:r>
      <w:r w:rsidRPr="0051588D">
        <w:rPr>
          <w:i/>
          <w:iCs/>
        </w:rPr>
        <w:t>propor</w:t>
      </w:r>
      <w:r w:rsidRPr="0051588D">
        <w:rPr>
          <w:rFonts w:ascii="Aptos" w:hAnsi="Aptos" w:cs="Aptos"/>
          <w:i/>
          <w:iCs/>
        </w:rPr>
        <w:t>č</w:t>
      </w:r>
      <w:r w:rsidRPr="0051588D">
        <w:rPr>
          <w:i/>
          <w:iCs/>
        </w:rPr>
        <w:t>n</w:t>
      </w:r>
      <w:r w:rsidRPr="0051588D">
        <w:rPr>
          <w:rFonts w:ascii="Aptos" w:hAnsi="Aptos" w:cs="Aptos"/>
          <w:i/>
          <w:iCs/>
        </w:rPr>
        <w:t>í</w:t>
      </w:r>
      <w:r w:rsidRPr="0051588D">
        <w:rPr>
          <w:i/>
          <w:iCs/>
        </w:rPr>
        <w:t>m zastoupen</w:t>
      </w:r>
      <w:r w:rsidRPr="0051588D">
        <w:rPr>
          <w:rFonts w:ascii="Aptos" w:hAnsi="Aptos" w:cs="Aptos"/>
          <w:i/>
          <w:iCs/>
        </w:rPr>
        <w:t>í</w:t>
      </w:r>
      <w:r w:rsidRPr="0051588D">
        <w:rPr>
          <w:i/>
          <w:iCs/>
        </w:rPr>
        <w:t>m kraje a</w:t>
      </w:r>
      <w:r w:rsidRPr="0051588D">
        <w:rPr>
          <w:rFonts w:ascii="Aptos" w:hAnsi="Aptos" w:cs="Aptos"/>
          <w:i/>
          <w:iCs/>
        </w:rPr>
        <w:t> </w:t>
      </w:r>
      <w:r w:rsidRPr="0051588D">
        <w:rPr>
          <w:i/>
          <w:iCs/>
        </w:rPr>
        <w:t>velikosti obce, po</w:t>
      </w:r>
      <w:r w:rsidRPr="0051588D">
        <w:rPr>
          <w:rFonts w:ascii="Aptos" w:hAnsi="Aptos" w:cs="Aptos"/>
          <w:i/>
          <w:iCs/>
        </w:rPr>
        <w:t>č</w:t>
      </w:r>
      <w:r w:rsidRPr="0051588D">
        <w:rPr>
          <w:i/>
          <w:iCs/>
        </w:rPr>
        <w:t>tu</w:t>
      </w:r>
      <w:r w:rsidRPr="0051588D">
        <w:rPr>
          <w:rFonts w:ascii="Aptos" w:hAnsi="Aptos" w:cs="Aptos"/>
          <w:i/>
          <w:iCs/>
        </w:rPr>
        <w:t> č</w:t>
      </w:r>
      <w:r w:rsidRPr="0051588D">
        <w:rPr>
          <w:i/>
          <w:iCs/>
        </w:rPr>
        <w:t>len</w:t>
      </w:r>
      <w:r w:rsidRPr="0051588D">
        <w:rPr>
          <w:rFonts w:ascii="Aptos" w:hAnsi="Aptos" w:cs="Aptos"/>
          <w:i/>
          <w:iCs/>
        </w:rPr>
        <w:t>ů </w:t>
      </w:r>
      <w:r w:rsidRPr="0051588D">
        <w:rPr>
          <w:i/>
          <w:iCs/>
        </w:rPr>
        <w:t>dom</w:t>
      </w:r>
      <w:r w:rsidRPr="0051588D">
        <w:rPr>
          <w:rFonts w:ascii="Aptos" w:hAnsi="Aptos" w:cs="Aptos"/>
          <w:i/>
          <w:iCs/>
        </w:rPr>
        <w:t>á</w:t>
      </w:r>
      <w:r w:rsidRPr="0051588D">
        <w:rPr>
          <w:i/>
          <w:iCs/>
        </w:rPr>
        <w:t>cnosti a</w:t>
      </w:r>
      <w:r w:rsidRPr="0051588D">
        <w:rPr>
          <w:rFonts w:ascii="Aptos" w:hAnsi="Aptos" w:cs="Aptos"/>
          <w:i/>
          <w:iCs/>
        </w:rPr>
        <w:t> </w:t>
      </w:r>
      <w:r w:rsidRPr="0051588D">
        <w:rPr>
          <w:i/>
          <w:iCs/>
        </w:rPr>
        <w:t>vzd</w:t>
      </w:r>
      <w:r w:rsidRPr="0051588D">
        <w:rPr>
          <w:rFonts w:ascii="Aptos" w:hAnsi="Aptos" w:cs="Aptos"/>
          <w:i/>
          <w:iCs/>
        </w:rPr>
        <w:t>ě</w:t>
      </w:r>
      <w:r w:rsidRPr="0051588D">
        <w:rPr>
          <w:i/>
          <w:iCs/>
        </w:rPr>
        <w:t>l</w:t>
      </w:r>
      <w:r w:rsidRPr="0051588D">
        <w:rPr>
          <w:rFonts w:ascii="Aptos" w:hAnsi="Aptos" w:cs="Aptos"/>
          <w:i/>
          <w:iCs/>
        </w:rPr>
        <w:t>á</w:t>
      </w:r>
      <w:r w:rsidRPr="0051588D">
        <w:rPr>
          <w:i/>
          <w:iCs/>
        </w:rPr>
        <w:t>n</w:t>
      </w:r>
      <w:r w:rsidRPr="0051588D">
        <w:rPr>
          <w:rFonts w:ascii="Aptos" w:hAnsi="Aptos" w:cs="Aptos"/>
          <w:i/>
          <w:iCs/>
        </w:rPr>
        <w:t>í </w:t>
      </w:r>
      <w:r w:rsidRPr="0051588D">
        <w:rPr>
          <w:i/>
          <w:iCs/>
        </w:rPr>
        <w:t>rodi</w:t>
      </w:r>
      <w:r w:rsidRPr="0051588D">
        <w:rPr>
          <w:rFonts w:ascii="Aptos" w:hAnsi="Aptos" w:cs="Aptos"/>
          <w:i/>
          <w:iCs/>
        </w:rPr>
        <w:t>čů</w:t>
      </w:r>
      <w:r w:rsidRPr="0051588D">
        <w:rPr>
          <w:i/>
          <w:iCs/>
        </w:rPr>
        <w:t>.</w:t>
      </w:r>
      <w:r w:rsidRPr="0051588D">
        <w:rPr>
          <w:rFonts w:ascii="Aptos" w:hAnsi="Aptos" w:cs="Aptos"/>
          <w:i/>
          <w:iCs/>
        </w:rPr>
        <w:t> Š</w:t>
      </w:r>
      <w:r w:rsidRPr="0051588D">
        <w:rPr>
          <w:i/>
          <w:iCs/>
        </w:rPr>
        <w:t>et</w:t>
      </w:r>
      <w:r w:rsidRPr="0051588D">
        <w:rPr>
          <w:rFonts w:ascii="Aptos" w:hAnsi="Aptos" w:cs="Aptos"/>
          <w:i/>
          <w:iCs/>
        </w:rPr>
        <w:t>ř</w:t>
      </w:r>
      <w:r w:rsidRPr="0051588D">
        <w:rPr>
          <w:i/>
          <w:iCs/>
        </w:rPr>
        <w:t>en</w:t>
      </w:r>
      <w:r w:rsidRPr="0051588D">
        <w:rPr>
          <w:rFonts w:ascii="Aptos" w:hAnsi="Aptos" w:cs="Aptos"/>
          <w:i/>
          <w:iCs/>
        </w:rPr>
        <w:t>í </w:t>
      </w:r>
      <w:r w:rsidRPr="0051588D">
        <w:rPr>
          <w:i/>
          <w:iCs/>
        </w:rPr>
        <w:t>prob</w:t>
      </w:r>
      <w:r w:rsidRPr="0051588D">
        <w:rPr>
          <w:rFonts w:ascii="Aptos" w:hAnsi="Aptos" w:cs="Aptos"/>
          <w:i/>
          <w:iCs/>
        </w:rPr>
        <w:t>ě</w:t>
      </w:r>
      <w:r w:rsidRPr="0051588D">
        <w:rPr>
          <w:i/>
          <w:iCs/>
        </w:rPr>
        <w:t>hlo kombinovanou metodou rozhovoru v</w:t>
      </w:r>
      <w:r w:rsidRPr="0051588D">
        <w:rPr>
          <w:rFonts w:ascii="Aptos" w:hAnsi="Aptos" w:cs="Aptos"/>
          <w:i/>
          <w:iCs/>
        </w:rPr>
        <w:t> </w:t>
      </w:r>
      <w:r w:rsidRPr="0051588D">
        <w:rPr>
          <w:i/>
          <w:iCs/>
        </w:rPr>
        <w:t>p</w:t>
      </w:r>
      <w:r w:rsidRPr="0051588D">
        <w:rPr>
          <w:rFonts w:ascii="Aptos" w:hAnsi="Aptos" w:cs="Aptos"/>
          <w:i/>
          <w:iCs/>
        </w:rPr>
        <w:t>ř</w:t>
      </w:r>
      <w:r w:rsidRPr="0051588D">
        <w:rPr>
          <w:i/>
          <w:iCs/>
        </w:rPr>
        <w:t>irozen</w:t>
      </w:r>
      <w:r w:rsidRPr="0051588D">
        <w:rPr>
          <w:rFonts w:ascii="Aptos" w:hAnsi="Aptos" w:cs="Aptos"/>
          <w:i/>
          <w:iCs/>
        </w:rPr>
        <w:t>é</w:t>
      </w:r>
      <w:r w:rsidRPr="0051588D">
        <w:rPr>
          <w:i/>
          <w:iCs/>
        </w:rPr>
        <w:t>m prost</w:t>
      </w:r>
      <w:r w:rsidRPr="0051588D">
        <w:rPr>
          <w:rFonts w:ascii="Aptos" w:hAnsi="Aptos" w:cs="Aptos"/>
          <w:i/>
          <w:iCs/>
        </w:rPr>
        <w:t>ř</w:t>
      </w:r>
      <w:r w:rsidRPr="0051588D">
        <w:rPr>
          <w:i/>
          <w:iCs/>
        </w:rPr>
        <w:t>ed</w:t>
      </w:r>
      <w:r w:rsidRPr="0051588D">
        <w:rPr>
          <w:rFonts w:ascii="Aptos" w:hAnsi="Aptos" w:cs="Aptos"/>
          <w:i/>
          <w:iCs/>
        </w:rPr>
        <w:t>í </w:t>
      </w:r>
      <w:r w:rsidRPr="0051588D">
        <w:rPr>
          <w:i/>
          <w:iCs/>
        </w:rPr>
        <w:t>d</w:t>
      </w:r>
      <w:r w:rsidRPr="0051588D">
        <w:rPr>
          <w:rFonts w:ascii="Aptos" w:hAnsi="Aptos" w:cs="Aptos"/>
          <w:i/>
          <w:iCs/>
        </w:rPr>
        <w:t>í</w:t>
      </w:r>
      <w:r w:rsidRPr="0051588D">
        <w:rPr>
          <w:i/>
          <w:iCs/>
        </w:rPr>
        <w:t>t</w:t>
      </w:r>
      <w:r w:rsidRPr="0051588D">
        <w:rPr>
          <w:rFonts w:ascii="Aptos" w:hAnsi="Aptos" w:cs="Aptos"/>
          <w:i/>
          <w:iCs/>
        </w:rPr>
        <w:t>ě</w:t>
      </w:r>
      <w:r w:rsidRPr="0051588D">
        <w:rPr>
          <w:i/>
          <w:iCs/>
        </w:rPr>
        <w:t>te a</w:t>
      </w:r>
      <w:r w:rsidRPr="0051588D">
        <w:rPr>
          <w:rFonts w:ascii="Aptos" w:hAnsi="Aptos" w:cs="Aptos"/>
          <w:i/>
          <w:iCs/>
        </w:rPr>
        <w:t> </w:t>
      </w:r>
      <w:r w:rsidRPr="0051588D">
        <w:rPr>
          <w:i/>
          <w:iCs/>
        </w:rPr>
        <w:t>online dotazov</w:t>
      </w:r>
      <w:r w:rsidRPr="0051588D">
        <w:rPr>
          <w:rFonts w:ascii="Aptos" w:hAnsi="Aptos" w:cs="Aptos"/>
          <w:i/>
          <w:iCs/>
        </w:rPr>
        <w:t>á</w:t>
      </w:r>
      <w:r w:rsidRPr="0051588D">
        <w:rPr>
          <w:i/>
          <w:iCs/>
        </w:rPr>
        <w:t>n</w:t>
      </w:r>
      <w:r w:rsidRPr="0051588D">
        <w:rPr>
          <w:rFonts w:ascii="Aptos" w:hAnsi="Aptos" w:cs="Aptos"/>
          <w:i/>
          <w:iCs/>
        </w:rPr>
        <w:t>í</w:t>
      </w:r>
      <w:r w:rsidRPr="0051588D">
        <w:rPr>
          <w:i/>
          <w:iCs/>
        </w:rPr>
        <w:t>. U</w:t>
      </w:r>
      <w:r w:rsidRPr="0051588D">
        <w:rPr>
          <w:rFonts w:ascii="Aptos" w:hAnsi="Aptos" w:cs="Aptos"/>
          <w:i/>
          <w:iCs/>
        </w:rPr>
        <w:t> </w:t>
      </w:r>
      <w:r w:rsidRPr="0051588D">
        <w:rPr>
          <w:i/>
          <w:iCs/>
        </w:rPr>
        <w:t>n</w:t>
      </w:r>
      <w:r w:rsidRPr="0051588D">
        <w:rPr>
          <w:rFonts w:ascii="Aptos" w:hAnsi="Aptos" w:cs="Aptos"/>
          <w:i/>
          <w:iCs/>
        </w:rPr>
        <w:t>ě</w:t>
      </w:r>
      <w:r w:rsidRPr="0051588D">
        <w:rPr>
          <w:i/>
          <w:iCs/>
        </w:rPr>
        <w:t>kter</w:t>
      </w:r>
      <w:r w:rsidRPr="0051588D">
        <w:rPr>
          <w:rFonts w:ascii="Aptos" w:hAnsi="Aptos" w:cs="Aptos"/>
          <w:i/>
          <w:iCs/>
        </w:rPr>
        <w:t>ý</w:t>
      </w:r>
      <w:r w:rsidRPr="0051588D">
        <w:rPr>
          <w:i/>
          <w:iCs/>
        </w:rPr>
        <w:t>ch v</w:t>
      </w:r>
      <w:r w:rsidRPr="0051588D">
        <w:rPr>
          <w:rFonts w:ascii="Aptos" w:hAnsi="Aptos" w:cs="Aptos"/>
          <w:i/>
          <w:iCs/>
        </w:rPr>
        <w:t>ý</w:t>
      </w:r>
      <w:r w:rsidRPr="0051588D">
        <w:rPr>
          <w:i/>
          <w:iCs/>
        </w:rPr>
        <w:t>sledk</w:t>
      </w:r>
      <w:r w:rsidRPr="0051588D">
        <w:rPr>
          <w:rFonts w:ascii="Aptos" w:hAnsi="Aptos" w:cs="Aptos"/>
          <w:i/>
          <w:iCs/>
        </w:rPr>
        <w:t>ů </w:t>
      </w:r>
      <w:r w:rsidRPr="0051588D">
        <w:rPr>
          <w:i/>
          <w:iCs/>
        </w:rPr>
        <w:t>se sou</w:t>
      </w:r>
      <w:r w:rsidRPr="0051588D">
        <w:rPr>
          <w:rFonts w:ascii="Aptos" w:hAnsi="Aptos" w:cs="Aptos"/>
          <w:i/>
          <w:iCs/>
        </w:rPr>
        <w:t>č</w:t>
      </w:r>
      <w:r w:rsidRPr="0051588D">
        <w:rPr>
          <w:i/>
          <w:iCs/>
        </w:rPr>
        <w:t>et odpov</w:t>
      </w:r>
      <w:r w:rsidRPr="0051588D">
        <w:rPr>
          <w:rFonts w:ascii="Aptos" w:hAnsi="Aptos" w:cs="Aptos"/>
          <w:i/>
          <w:iCs/>
        </w:rPr>
        <w:t>ě</w:t>
      </w:r>
      <w:r w:rsidRPr="0051588D">
        <w:rPr>
          <w:i/>
          <w:iCs/>
        </w:rPr>
        <w:t>d</w:t>
      </w:r>
      <w:r w:rsidRPr="0051588D">
        <w:rPr>
          <w:rFonts w:ascii="Aptos" w:hAnsi="Aptos" w:cs="Aptos"/>
          <w:i/>
          <w:iCs/>
        </w:rPr>
        <w:t>í </w:t>
      </w:r>
      <w:r w:rsidRPr="0051588D">
        <w:rPr>
          <w:i/>
          <w:iCs/>
        </w:rPr>
        <w:t>nemus</w:t>
      </w:r>
      <w:r w:rsidRPr="0051588D">
        <w:rPr>
          <w:rFonts w:ascii="Aptos" w:hAnsi="Aptos" w:cs="Aptos"/>
          <w:i/>
          <w:iCs/>
        </w:rPr>
        <w:t>í </w:t>
      </w:r>
      <w:r w:rsidRPr="0051588D">
        <w:rPr>
          <w:i/>
          <w:iCs/>
        </w:rPr>
        <w:t>rovnat p</w:t>
      </w:r>
      <w:r w:rsidRPr="0051588D">
        <w:rPr>
          <w:rFonts w:ascii="Aptos" w:hAnsi="Aptos" w:cs="Aptos"/>
          <w:i/>
          <w:iCs/>
        </w:rPr>
        <w:t>ř</w:t>
      </w:r>
      <w:r w:rsidRPr="0051588D">
        <w:rPr>
          <w:i/>
          <w:iCs/>
        </w:rPr>
        <w:t>esn</w:t>
      </w:r>
      <w:r w:rsidRPr="0051588D">
        <w:rPr>
          <w:rFonts w:ascii="Aptos" w:hAnsi="Aptos" w:cs="Aptos"/>
          <w:i/>
          <w:iCs/>
        </w:rPr>
        <w:t>ě</w:t>
      </w:r>
      <w:r w:rsidRPr="0051588D">
        <w:rPr>
          <w:i/>
          <w:iCs/>
        </w:rPr>
        <w:t>100 %, co</w:t>
      </w:r>
      <w:r w:rsidRPr="0051588D">
        <w:rPr>
          <w:rFonts w:ascii="Aptos" w:hAnsi="Aptos" w:cs="Aptos"/>
          <w:i/>
          <w:iCs/>
        </w:rPr>
        <w:t>ž </w:t>
      </w:r>
      <w:r w:rsidRPr="0051588D">
        <w:rPr>
          <w:i/>
          <w:iCs/>
        </w:rPr>
        <w:t>je d</w:t>
      </w:r>
      <w:r w:rsidRPr="0051588D">
        <w:rPr>
          <w:rFonts w:ascii="Aptos" w:hAnsi="Aptos" w:cs="Aptos"/>
          <w:i/>
          <w:iCs/>
        </w:rPr>
        <w:t>á</w:t>
      </w:r>
      <w:r w:rsidRPr="0051588D">
        <w:rPr>
          <w:i/>
          <w:iCs/>
        </w:rPr>
        <w:t>no zaokrouhlov</w:t>
      </w:r>
      <w:r w:rsidRPr="0051588D">
        <w:rPr>
          <w:rFonts w:ascii="Aptos" w:hAnsi="Aptos" w:cs="Aptos"/>
          <w:i/>
          <w:iCs/>
        </w:rPr>
        <w:t>á</w:t>
      </w:r>
      <w:r w:rsidRPr="0051588D">
        <w:rPr>
          <w:i/>
          <w:iCs/>
        </w:rPr>
        <w:t>n</w:t>
      </w:r>
      <w:r w:rsidRPr="0051588D">
        <w:rPr>
          <w:rFonts w:ascii="Aptos" w:hAnsi="Aptos" w:cs="Aptos"/>
          <w:i/>
          <w:iCs/>
        </w:rPr>
        <w:t>í</w:t>
      </w:r>
      <w:r w:rsidRPr="0051588D">
        <w:rPr>
          <w:i/>
          <w:iCs/>
        </w:rPr>
        <w:t>m na cel</w:t>
      </w:r>
      <w:r w:rsidRPr="0051588D">
        <w:rPr>
          <w:rFonts w:ascii="Aptos" w:hAnsi="Aptos" w:cs="Aptos"/>
          <w:i/>
          <w:iCs/>
        </w:rPr>
        <w:t>á čí</w:t>
      </w:r>
      <w:r w:rsidRPr="0051588D">
        <w:rPr>
          <w:i/>
          <w:iCs/>
        </w:rPr>
        <w:t>sla.</w:t>
      </w:r>
    </w:p>
    <w:p w14:paraId="317DC721" w14:textId="77777777" w:rsidR="002D6A5D" w:rsidRDefault="002D6A5D" w:rsidP="00F73944"/>
    <w:p w14:paraId="6ECFE596" w14:textId="77777777" w:rsidR="007374E9" w:rsidRPr="007374E9" w:rsidRDefault="007374E9" w:rsidP="007374E9">
      <w:r w:rsidRPr="007374E9">
        <w:rPr>
          <w:b/>
          <w:bCs/>
        </w:rPr>
        <w:t>Zdrojová data k výzkumu Mladé hlasy 2026 naleznete </w:t>
      </w:r>
      <w:hyperlink r:id="rId7" w:history="1">
        <w:r w:rsidRPr="007374E9">
          <w:rPr>
            <w:rStyle w:val="Hypertextovodkaz"/>
            <w:b/>
            <w:bCs/>
          </w:rPr>
          <w:t>zde</w:t>
        </w:r>
      </w:hyperlink>
      <w:r w:rsidRPr="007374E9">
        <w:rPr>
          <w:b/>
          <w:bCs/>
        </w:rPr>
        <w:t>.</w:t>
      </w:r>
    </w:p>
    <w:p w14:paraId="7A3DF48D" w14:textId="5F3BDC97" w:rsidR="007374E9" w:rsidRPr="007374E9" w:rsidRDefault="007374E9" w:rsidP="007374E9">
      <w:r w:rsidRPr="007374E9">
        <w:rPr>
          <w:b/>
          <w:bCs/>
        </w:rPr>
        <w:t>Veškerá data k předchozím výzkumům Mladé hlasy naleznete </w:t>
      </w:r>
      <w:hyperlink r:id="rId8" w:history="1">
        <w:r w:rsidRPr="007374E9">
          <w:rPr>
            <w:rStyle w:val="Hypertextovodkaz"/>
            <w:b/>
            <w:bCs/>
          </w:rPr>
          <w:t>zde.</w:t>
        </w:r>
      </w:hyperlink>
    </w:p>
    <w:p w14:paraId="42105B9D" w14:textId="77777777" w:rsidR="002D6A5D" w:rsidRDefault="002D6A5D" w:rsidP="00F73944"/>
    <w:p w14:paraId="368600B5" w14:textId="77777777" w:rsidR="002D6A5D" w:rsidRPr="000A692F" w:rsidRDefault="002D6A5D" w:rsidP="00F73944"/>
    <w:p w14:paraId="5F348D8F" w14:textId="77777777" w:rsidR="00C11F45" w:rsidRPr="00B37E32" w:rsidRDefault="00C11F45" w:rsidP="00C11F45">
      <w:pPr>
        <w:jc w:val="both"/>
        <w:rPr>
          <w:b/>
          <w:bCs/>
          <w:i/>
          <w:iCs/>
          <w:sz w:val="18"/>
          <w:szCs w:val="18"/>
        </w:rPr>
      </w:pPr>
      <w:r w:rsidRPr="00B37E32">
        <w:rPr>
          <w:b/>
          <w:bCs/>
          <w:i/>
          <w:iCs/>
          <w:sz w:val="18"/>
          <w:szCs w:val="18"/>
        </w:rPr>
        <w:t>Český výbor pro UNICEF je nevládní nezisková organizace, která působí v České republice od roku 1991. Posláním Českého výboru pro UNICEF je podpora Dětského fondu OSN – UNICEF, prosazování Úmluvy o právech dítěte, osvětová a vzdělávací činnost a získávání finančních prostředků pro zajištění dlouhodobých programů pomoci dětem v nejchudších zemích světa a humanitární pomoci v situacích přírodních katastrof a válečných konfliktů.</w:t>
      </w:r>
    </w:p>
    <w:p w14:paraId="7E27A294" w14:textId="77777777" w:rsidR="00C11F45" w:rsidRDefault="00C11F45" w:rsidP="00C11F45">
      <w:pPr>
        <w:rPr>
          <w:b/>
          <w:sz w:val="20"/>
        </w:rPr>
      </w:pPr>
      <w:r w:rsidRPr="00B544D4">
        <w:rPr>
          <w:b/>
          <w:sz w:val="20"/>
        </w:rPr>
        <w:t>Pro více informací o výzkumu kontaktujte:</w:t>
      </w:r>
    </w:p>
    <w:p w14:paraId="2AEDBC3F" w14:textId="7C4A6378" w:rsidR="000908E7" w:rsidRDefault="00C11F45" w:rsidP="00C11F45">
      <w:pPr>
        <w:jc w:val="both"/>
      </w:pPr>
      <w:r>
        <w:rPr>
          <w:sz w:val="20"/>
        </w:rPr>
        <w:t>Darina Jíchová</w:t>
      </w:r>
      <w:r w:rsidRPr="00B544D4">
        <w:rPr>
          <w:sz w:val="20"/>
        </w:rPr>
        <w:t xml:space="preserve">, </w:t>
      </w:r>
      <w:proofErr w:type="spellStart"/>
      <w:r w:rsidRPr="00B544D4">
        <w:rPr>
          <w:sz w:val="20"/>
        </w:rPr>
        <w:t>Communication</w:t>
      </w:r>
      <w:proofErr w:type="spellEnd"/>
      <w:r w:rsidRPr="00B544D4">
        <w:rPr>
          <w:sz w:val="20"/>
        </w:rPr>
        <w:t xml:space="preserve"> </w:t>
      </w:r>
      <w:proofErr w:type="spellStart"/>
      <w:r w:rsidRPr="00B544D4">
        <w:rPr>
          <w:sz w:val="20"/>
        </w:rPr>
        <w:t>Officer</w:t>
      </w:r>
      <w:proofErr w:type="spellEnd"/>
      <w:r w:rsidRPr="00B544D4">
        <w:rPr>
          <w:sz w:val="20"/>
        </w:rPr>
        <w:t xml:space="preserve">, </w:t>
      </w:r>
      <w:r w:rsidRPr="00090994">
        <w:rPr>
          <w:sz w:val="20"/>
        </w:rPr>
        <w:t>+420 606 086 970</w:t>
      </w:r>
      <w:r w:rsidRPr="00B544D4">
        <w:rPr>
          <w:sz w:val="20"/>
        </w:rPr>
        <w:t xml:space="preserve">, </w:t>
      </w:r>
      <w:hyperlink r:id="rId9" w:history="1">
        <w:r w:rsidRPr="004C6C6B">
          <w:rPr>
            <w:rStyle w:val="Hypertextovodkaz"/>
            <w:sz w:val="20"/>
          </w:rPr>
          <w:t>djichova@unicef.cz</w:t>
        </w:r>
      </w:hyperlink>
    </w:p>
    <w:sectPr w:rsidR="000908E7" w:rsidSect="00F7394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44213" w14:textId="77777777" w:rsidR="005E1283" w:rsidRDefault="005E1283" w:rsidP="00C11F45">
      <w:pPr>
        <w:spacing w:after="0" w:line="240" w:lineRule="auto"/>
      </w:pPr>
      <w:r>
        <w:separator/>
      </w:r>
    </w:p>
  </w:endnote>
  <w:endnote w:type="continuationSeparator" w:id="0">
    <w:p w14:paraId="26812E54" w14:textId="77777777" w:rsidR="005E1283" w:rsidRDefault="005E1283" w:rsidP="00C11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EC65B" w14:textId="77777777" w:rsidR="005E1283" w:rsidRDefault="005E1283" w:rsidP="00C11F45">
      <w:pPr>
        <w:spacing w:after="0" w:line="240" w:lineRule="auto"/>
      </w:pPr>
      <w:r>
        <w:separator/>
      </w:r>
    </w:p>
  </w:footnote>
  <w:footnote w:type="continuationSeparator" w:id="0">
    <w:p w14:paraId="50EAB571" w14:textId="77777777" w:rsidR="005E1283" w:rsidRDefault="005E1283" w:rsidP="00C11F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E5DA2" w14:textId="3BC378B9" w:rsidR="00C11F45" w:rsidRDefault="00C11F45">
    <w:pPr>
      <w:pStyle w:val="Zhlav"/>
    </w:pPr>
    <w:r w:rsidRPr="005C4D52">
      <w:rPr>
        <w:noProof/>
        <w:lang w:eastAsia="cs-CZ"/>
      </w:rPr>
      <w:drawing>
        <wp:anchor distT="0" distB="0" distL="114300" distR="114300" simplePos="0" relativeHeight="251659264" behindDoc="0" locked="0" layoutInCell="1" allowOverlap="1" wp14:anchorId="6C7E655A" wp14:editId="774BEEEE">
          <wp:simplePos x="0" y="0"/>
          <wp:positionH relativeFrom="page">
            <wp:align>left</wp:align>
          </wp:positionH>
          <wp:positionV relativeFrom="paragraph">
            <wp:posOffset>-445881</wp:posOffset>
          </wp:positionV>
          <wp:extent cx="7594600" cy="8966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head_Logo.png"/>
                  <pic:cNvPicPr/>
                </pic:nvPicPr>
                <pic:blipFill>
                  <a:blip r:embed="rId1">
                    <a:extLst>
                      <a:ext uri="{28A0092B-C50C-407E-A947-70E740481C1C}">
                        <a14:useLocalDpi xmlns:a14="http://schemas.microsoft.com/office/drawing/2010/main" val="0"/>
                      </a:ext>
                    </a:extLst>
                  </a:blip>
                  <a:stretch>
                    <a:fillRect/>
                  </a:stretch>
                </pic:blipFill>
                <pic:spPr>
                  <a:xfrm>
                    <a:off x="0" y="0"/>
                    <a:ext cx="7594600" cy="896620"/>
                  </a:xfrm>
                  <a:prstGeom prst="rect">
                    <a:avLst/>
                  </a:prstGeom>
                </pic:spPr>
              </pic:pic>
            </a:graphicData>
          </a:graphic>
          <wp14:sizeRelV relativeFrom="margin">
            <wp14:pctHeight>0</wp14:pctHeight>
          </wp14:sizeRelV>
        </wp:anchor>
      </w:drawing>
    </w:r>
  </w:p>
  <w:p w14:paraId="18D50E43" w14:textId="77777777" w:rsidR="00C11F45" w:rsidRDefault="00C11F4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57C91"/>
    <w:multiLevelType w:val="multilevel"/>
    <w:tmpl w:val="0FFEC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954828"/>
    <w:multiLevelType w:val="multilevel"/>
    <w:tmpl w:val="34EA8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0F4412"/>
    <w:multiLevelType w:val="multilevel"/>
    <w:tmpl w:val="70443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C706B5"/>
    <w:multiLevelType w:val="hybridMultilevel"/>
    <w:tmpl w:val="E920EF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32312D8"/>
    <w:multiLevelType w:val="multilevel"/>
    <w:tmpl w:val="34EA8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C31090"/>
    <w:multiLevelType w:val="multilevel"/>
    <w:tmpl w:val="0AF48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5072718">
    <w:abstractNumId w:val="4"/>
  </w:num>
  <w:num w:numId="2" w16cid:durableId="1048988578">
    <w:abstractNumId w:val="5"/>
  </w:num>
  <w:num w:numId="3" w16cid:durableId="1079600396">
    <w:abstractNumId w:val="3"/>
  </w:num>
  <w:num w:numId="4" w16cid:durableId="860241348">
    <w:abstractNumId w:val="2"/>
  </w:num>
  <w:num w:numId="5" w16cid:durableId="1121386741">
    <w:abstractNumId w:val="0"/>
  </w:num>
  <w:num w:numId="6" w16cid:durableId="20295288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8D7"/>
    <w:rsid w:val="000908E7"/>
    <w:rsid w:val="000E7481"/>
    <w:rsid w:val="0015607E"/>
    <w:rsid w:val="00163023"/>
    <w:rsid w:val="001A34E0"/>
    <w:rsid w:val="001B240D"/>
    <w:rsid w:val="002D6A5D"/>
    <w:rsid w:val="00323FD4"/>
    <w:rsid w:val="004A518D"/>
    <w:rsid w:val="0051588D"/>
    <w:rsid w:val="00584777"/>
    <w:rsid w:val="005A38D7"/>
    <w:rsid w:val="005E1283"/>
    <w:rsid w:val="006B1E72"/>
    <w:rsid w:val="007374E9"/>
    <w:rsid w:val="00851FF7"/>
    <w:rsid w:val="0092743C"/>
    <w:rsid w:val="00A4208D"/>
    <w:rsid w:val="00AA347A"/>
    <w:rsid w:val="00BF75B7"/>
    <w:rsid w:val="00C11F45"/>
    <w:rsid w:val="00CA0A38"/>
    <w:rsid w:val="00D903CC"/>
    <w:rsid w:val="00E75AA6"/>
    <w:rsid w:val="00F73944"/>
    <w:rsid w:val="00FC34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672C6"/>
  <w15:chartTrackingRefBased/>
  <w15:docId w15:val="{036AE84C-F949-4847-AFEF-EDFE27C0E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3944"/>
  </w:style>
  <w:style w:type="paragraph" w:styleId="Nadpis1">
    <w:name w:val="heading 1"/>
    <w:basedOn w:val="Normln"/>
    <w:next w:val="Normln"/>
    <w:link w:val="Nadpis1Char"/>
    <w:uiPriority w:val="9"/>
    <w:qFormat/>
    <w:rsid w:val="005A38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5A38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5A38D7"/>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5A38D7"/>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5A38D7"/>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5A38D7"/>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5A38D7"/>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5A38D7"/>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5A38D7"/>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A38D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5A38D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5A38D7"/>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5A38D7"/>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5A38D7"/>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5A38D7"/>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5A38D7"/>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5A38D7"/>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5A38D7"/>
    <w:rPr>
      <w:rFonts w:eastAsiaTheme="majorEastAsia" w:cstheme="majorBidi"/>
      <w:color w:val="272727" w:themeColor="text1" w:themeTint="D8"/>
    </w:rPr>
  </w:style>
  <w:style w:type="paragraph" w:styleId="Nzev">
    <w:name w:val="Title"/>
    <w:basedOn w:val="Normln"/>
    <w:next w:val="Normln"/>
    <w:link w:val="NzevChar"/>
    <w:uiPriority w:val="10"/>
    <w:qFormat/>
    <w:rsid w:val="005A38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5A38D7"/>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5A38D7"/>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5A38D7"/>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5A38D7"/>
    <w:pPr>
      <w:spacing w:before="160"/>
      <w:jc w:val="center"/>
    </w:pPr>
    <w:rPr>
      <w:i/>
      <w:iCs/>
      <w:color w:val="404040" w:themeColor="text1" w:themeTint="BF"/>
    </w:rPr>
  </w:style>
  <w:style w:type="character" w:customStyle="1" w:styleId="CittChar">
    <w:name w:val="Citát Char"/>
    <w:basedOn w:val="Standardnpsmoodstavce"/>
    <w:link w:val="Citt"/>
    <w:uiPriority w:val="29"/>
    <w:rsid w:val="005A38D7"/>
    <w:rPr>
      <w:i/>
      <w:iCs/>
      <w:color w:val="404040" w:themeColor="text1" w:themeTint="BF"/>
    </w:rPr>
  </w:style>
  <w:style w:type="paragraph" w:styleId="Odstavecseseznamem">
    <w:name w:val="List Paragraph"/>
    <w:basedOn w:val="Normln"/>
    <w:uiPriority w:val="34"/>
    <w:qFormat/>
    <w:rsid w:val="005A38D7"/>
    <w:pPr>
      <w:ind w:left="720"/>
      <w:contextualSpacing/>
    </w:pPr>
  </w:style>
  <w:style w:type="character" w:styleId="Zdraznnintenzivn">
    <w:name w:val="Intense Emphasis"/>
    <w:basedOn w:val="Standardnpsmoodstavce"/>
    <w:uiPriority w:val="21"/>
    <w:qFormat/>
    <w:rsid w:val="005A38D7"/>
    <w:rPr>
      <w:i/>
      <w:iCs/>
      <w:color w:val="0F4761" w:themeColor="accent1" w:themeShade="BF"/>
    </w:rPr>
  </w:style>
  <w:style w:type="paragraph" w:styleId="Vrazncitt">
    <w:name w:val="Intense Quote"/>
    <w:basedOn w:val="Normln"/>
    <w:next w:val="Normln"/>
    <w:link w:val="VrazncittChar"/>
    <w:uiPriority w:val="30"/>
    <w:qFormat/>
    <w:rsid w:val="005A38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5A38D7"/>
    <w:rPr>
      <w:i/>
      <w:iCs/>
      <w:color w:val="0F4761" w:themeColor="accent1" w:themeShade="BF"/>
    </w:rPr>
  </w:style>
  <w:style w:type="character" w:styleId="Odkazintenzivn">
    <w:name w:val="Intense Reference"/>
    <w:basedOn w:val="Standardnpsmoodstavce"/>
    <w:uiPriority w:val="32"/>
    <w:qFormat/>
    <w:rsid w:val="005A38D7"/>
    <w:rPr>
      <w:b/>
      <w:bCs/>
      <w:smallCaps/>
      <w:color w:val="0F4761" w:themeColor="accent1" w:themeShade="BF"/>
      <w:spacing w:val="5"/>
    </w:rPr>
  </w:style>
  <w:style w:type="paragraph" w:styleId="Normlnweb">
    <w:name w:val="Normal (Web)"/>
    <w:basedOn w:val="Normln"/>
    <w:uiPriority w:val="99"/>
    <w:semiHidden/>
    <w:unhideWhenUsed/>
    <w:rsid w:val="006B1E72"/>
    <w:rPr>
      <w:rFonts w:ascii="Times New Roman" w:hAnsi="Times New Roman" w:cs="Times New Roman"/>
      <w:sz w:val="24"/>
      <w:szCs w:val="24"/>
    </w:rPr>
  </w:style>
  <w:style w:type="character" w:styleId="Odkaznakoment">
    <w:name w:val="annotation reference"/>
    <w:basedOn w:val="Standardnpsmoodstavce"/>
    <w:uiPriority w:val="99"/>
    <w:semiHidden/>
    <w:unhideWhenUsed/>
    <w:rsid w:val="002D6A5D"/>
    <w:rPr>
      <w:sz w:val="16"/>
      <w:szCs w:val="16"/>
    </w:rPr>
  </w:style>
  <w:style w:type="paragraph" w:styleId="Textkomente">
    <w:name w:val="annotation text"/>
    <w:basedOn w:val="Normln"/>
    <w:link w:val="TextkomenteChar"/>
    <w:uiPriority w:val="99"/>
    <w:unhideWhenUsed/>
    <w:rsid w:val="002D6A5D"/>
    <w:pPr>
      <w:spacing w:line="240" w:lineRule="auto"/>
    </w:pPr>
    <w:rPr>
      <w:sz w:val="20"/>
      <w:szCs w:val="20"/>
    </w:rPr>
  </w:style>
  <w:style w:type="character" w:customStyle="1" w:styleId="TextkomenteChar">
    <w:name w:val="Text komentáře Char"/>
    <w:basedOn w:val="Standardnpsmoodstavce"/>
    <w:link w:val="Textkomente"/>
    <w:uiPriority w:val="99"/>
    <w:rsid w:val="002D6A5D"/>
    <w:rPr>
      <w:sz w:val="20"/>
      <w:szCs w:val="20"/>
    </w:rPr>
  </w:style>
  <w:style w:type="paragraph" w:styleId="Pedmtkomente">
    <w:name w:val="annotation subject"/>
    <w:basedOn w:val="Textkomente"/>
    <w:next w:val="Textkomente"/>
    <w:link w:val="PedmtkomenteChar"/>
    <w:uiPriority w:val="99"/>
    <w:semiHidden/>
    <w:unhideWhenUsed/>
    <w:rsid w:val="002D6A5D"/>
    <w:rPr>
      <w:b/>
      <w:bCs/>
    </w:rPr>
  </w:style>
  <w:style w:type="character" w:customStyle="1" w:styleId="PedmtkomenteChar">
    <w:name w:val="Předmět komentáře Char"/>
    <w:basedOn w:val="TextkomenteChar"/>
    <w:link w:val="Pedmtkomente"/>
    <w:uiPriority w:val="99"/>
    <w:semiHidden/>
    <w:rsid w:val="002D6A5D"/>
    <w:rPr>
      <w:b/>
      <w:bCs/>
      <w:sz w:val="20"/>
      <w:szCs w:val="20"/>
    </w:rPr>
  </w:style>
  <w:style w:type="character" w:styleId="Hypertextovodkaz">
    <w:name w:val="Hyperlink"/>
    <w:basedOn w:val="Standardnpsmoodstavce"/>
    <w:uiPriority w:val="99"/>
    <w:unhideWhenUsed/>
    <w:rsid w:val="007374E9"/>
    <w:rPr>
      <w:color w:val="467886" w:themeColor="hyperlink"/>
      <w:u w:val="single"/>
    </w:rPr>
  </w:style>
  <w:style w:type="character" w:styleId="Nevyeenzmnka">
    <w:name w:val="Unresolved Mention"/>
    <w:basedOn w:val="Standardnpsmoodstavce"/>
    <w:uiPriority w:val="99"/>
    <w:semiHidden/>
    <w:unhideWhenUsed/>
    <w:rsid w:val="007374E9"/>
    <w:rPr>
      <w:color w:val="605E5C"/>
      <w:shd w:val="clear" w:color="auto" w:fill="E1DFDD"/>
    </w:rPr>
  </w:style>
  <w:style w:type="paragraph" w:styleId="Zhlav">
    <w:name w:val="header"/>
    <w:basedOn w:val="Normln"/>
    <w:link w:val="ZhlavChar"/>
    <w:uiPriority w:val="99"/>
    <w:unhideWhenUsed/>
    <w:rsid w:val="00C11F4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11F45"/>
  </w:style>
  <w:style w:type="paragraph" w:styleId="Zpat">
    <w:name w:val="footer"/>
    <w:basedOn w:val="Normln"/>
    <w:link w:val="ZpatChar"/>
    <w:uiPriority w:val="99"/>
    <w:unhideWhenUsed/>
    <w:rsid w:val="00C11F45"/>
    <w:pPr>
      <w:tabs>
        <w:tab w:val="center" w:pos="4536"/>
        <w:tab w:val="right" w:pos="9072"/>
      </w:tabs>
      <w:spacing w:after="0" w:line="240" w:lineRule="auto"/>
    </w:pPr>
  </w:style>
  <w:style w:type="character" w:customStyle="1" w:styleId="ZpatChar">
    <w:name w:val="Zápatí Char"/>
    <w:basedOn w:val="Standardnpsmoodstavce"/>
    <w:link w:val="Zpat"/>
    <w:uiPriority w:val="99"/>
    <w:rsid w:val="00C11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cef.cz/mladehlasy/" TargetMode="External"/><Relationship Id="rId3" Type="http://schemas.openxmlformats.org/officeDocument/2006/relationships/settings" Target="settings.xml"/><Relationship Id="rId7" Type="http://schemas.openxmlformats.org/officeDocument/2006/relationships/hyperlink" Target="https://www.unicef.cz/wp-content/uploads/2026/06/UNICEF_Mlade-hlasy-2026_Tables.xls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jichova@unicef.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783</Words>
  <Characters>4624</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Darina Jíchová</dc:creator>
  <cp:keywords/>
  <dc:description/>
  <cp:lastModifiedBy>Darina Jíchová</cp:lastModifiedBy>
  <cp:revision>11</cp:revision>
  <cp:lastPrinted>2026-08-31T06:09:00Z</cp:lastPrinted>
  <dcterms:created xsi:type="dcterms:W3CDTF">2026-08-25T11:55:00Z</dcterms:created>
  <dcterms:modified xsi:type="dcterms:W3CDTF">2026-08-31T06:10:00Z</dcterms:modified>
</cp:coreProperties>
</file>